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0DD12" w14:textId="548EAD94" w:rsidR="001B3DD6" w:rsidRPr="001B3DD6" w:rsidRDefault="001B3DD6" w:rsidP="001B3DD6">
      <w:pPr>
        <w:jc w:val="center"/>
        <w:rPr>
          <w:rFonts w:ascii="微軟正黑體" w:eastAsia="微軟正黑體" w:hAnsi="微軟正黑體" w:hint="default"/>
          <w:sz w:val="28"/>
          <w:szCs w:val="28"/>
          <w:lang w:val="en-US"/>
        </w:rPr>
      </w:pPr>
      <w:r>
        <w:rPr>
          <w:rFonts w:ascii="微軟正黑體" w:eastAsia="微軟正黑體" w:hAnsi="微軟正黑體"/>
          <w:sz w:val="28"/>
          <w:szCs w:val="28"/>
          <w:lang w:val="en-US"/>
        </w:rPr>
        <w:t xml:space="preserve">附件一    </w:t>
      </w:r>
      <w:r w:rsidR="00434774" w:rsidRPr="00434774">
        <w:rPr>
          <w:rFonts w:ascii="微軟正黑體" w:eastAsia="微軟正黑體" w:hAnsi="微軟正黑體" w:hint="cs"/>
          <w:sz w:val="28"/>
          <w:szCs w:val="28"/>
          <w:lang w:val="en-US"/>
        </w:rPr>
        <w:t>設計學院教師升等門檻</w:t>
      </w:r>
      <w:r w:rsidR="000C7B4C">
        <w:rPr>
          <w:rFonts w:ascii="微軟正黑體" w:eastAsia="微軟正黑體" w:hAnsi="微軟正黑體"/>
          <w:sz w:val="28"/>
          <w:szCs w:val="28"/>
          <w:lang w:val="en-US"/>
        </w:rPr>
        <w:t>認定</w:t>
      </w:r>
      <w:r w:rsidR="00434774" w:rsidRPr="00434774">
        <w:rPr>
          <w:rFonts w:ascii="微軟正黑體" w:eastAsia="微軟正黑體" w:hAnsi="微軟正黑體" w:hint="cs"/>
          <w:sz w:val="28"/>
          <w:szCs w:val="28"/>
          <w:lang w:val="en-US"/>
        </w:rPr>
        <w:t>之頂級研討會清單</w:t>
      </w:r>
    </w:p>
    <w:p w14:paraId="6A3CFF7D" w14:textId="00392354" w:rsidR="00A313BA" w:rsidRPr="001B3DD6" w:rsidRDefault="001B3DD6" w:rsidP="004776F9">
      <w:pPr>
        <w:snapToGrid w:val="0"/>
        <w:spacing w:before="0"/>
        <w:jc w:val="right"/>
        <w:rPr>
          <w:rFonts w:ascii="Times New Roman" w:eastAsiaTheme="minorEastAsia" w:hAnsi="Times New Roman" w:cs="Times New Roman" w:hint="default"/>
          <w:sz w:val="20"/>
          <w:szCs w:val="20"/>
          <w:lang w:val="en-US"/>
        </w:rPr>
      </w:pPr>
      <w:r>
        <w:rPr>
          <w:rFonts w:eastAsiaTheme="minorEastAsia"/>
          <w:lang w:val="en-US"/>
        </w:rPr>
        <w:t xml:space="preserve">  </w:t>
      </w:r>
    </w:p>
    <w:tbl>
      <w:tblPr>
        <w:tblStyle w:val="TableNormal"/>
        <w:tblW w:w="10372" w:type="dxa"/>
        <w:tblInd w:w="-6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631"/>
        <w:gridCol w:w="2660"/>
        <w:gridCol w:w="851"/>
        <w:gridCol w:w="3522"/>
        <w:gridCol w:w="1354"/>
        <w:gridCol w:w="1354"/>
      </w:tblGrid>
      <w:tr w:rsidR="007F2E00" w:rsidRPr="007F2E00" w14:paraId="1D510A56" w14:textId="2758CDC8" w:rsidTr="00A64594">
        <w:trPr>
          <w:trHeight w:val="295"/>
          <w:tblHeader/>
        </w:trPr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468E" w14:textId="625AB78C" w:rsidR="00A64594" w:rsidRPr="007F2E00" w:rsidRDefault="00A64594" w:rsidP="001B3DD6">
            <w:pPr>
              <w:pStyle w:val="1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hint="eastAsia"/>
                <w:color w:val="auto"/>
              </w:rPr>
              <w:t>編號</w:t>
            </w:r>
          </w:p>
        </w:tc>
        <w:tc>
          <w:tcPr>
            <w:tcW w:w="266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ACCD" w14:textId="4122E102" w:rsidR="00A64594" w:rsidRPr="007F2E00" w:rsidRDefault="00434774" w:rsidP="001B3DD6">
            <w:pPr>
              <w:pStyle w:val="1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hint="eastAsia"/>
                <w:color w:val="auto"/>
              </w:rPr>
              <w:t>研討</w:t>
            </w:r>
            <w:r w:rsidR="00A64594" w:rsidRPr="007F2E00">
              <w:rPr>
                <w:rFonts w:ascii="微軟正黑體" w:eastAsia="微軟正黑體" w:hAnsi="微軟正黑體" w:hint="eastAsia"/>
                <w:color w:val="auto"/>
              </w:rPr>
              <w:t>會議名稱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6E793" w14:textId="77777777" w:rsidR="00A64594" w:rsidRPr="007F2E00" w:rsidRDefault="00A64594" w:rsidP="001B3DD6">
            <w:pPr>
              <w:pStyle w:val="1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hint="eastAsia"/>
                <w:color w:val="auto"/>
              </w:rPr>
              <w:t>接受率</w:t>
            </w:r>
          </w:p>
        </w:tc>
        <w:tc>
          <w:tcPr>
            <w:tcW w:w="352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EC798" w14:textId="77777777" w:rsidR="00A64594" w:rsidRPr="007F2E00" w:rsidRDefault="00A64594" w:rsidP="001B3DD6">
            <w:pPr>
              <w:pStyle w:val="1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hint="eastAsia"/>
                <w:color w:val="auto"/>
              </w:rPr>
              <w:t>重要性說明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C0036" w14:textId="262F8392" w:rsidR="00A64594" w:rsidRPr="007F2E00" w:rsidRDefault="00A64594" w:rsidP="001B3DD6">
            <w:pPr>
              <w:pStyle w:val="1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設計相關性</w:t>
            </w:r>
          </w:p>
        </w:tc>
        <w:tc>
          <w:tcPr>
            <w:tcW w:w="13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</w:tcPr>
          <w:p w14:paraId="14DB2F1A" w14:textId="373E85D5" w:rsidR="00A64594" w:rsidRPr="007F2E00" w:rsidRDefault="00A64594" w:rsidP="00EB1654">
            <w:pPr>
              <w:pStyle w:val="1"/>
              <w:snapToGrid w:val="0"/>
              <w:spacing w:line="204" w:lineRule="auto"/>
              <w:jc w:val="center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通過</w:t>
            </w:r>
            <w:r w:rsidR="00EB1654" w:rsidRPr="007F2E00">
              <w:rPr>
                <w:rFonts w:ascii="微軟正黑體" w:eastAsia="微軟正黑體" w:hAnsi="微軟正黑體" w:cs="新細明體" w:hint="eastAsia"/>
                <w:color w:val="auto"/>
              </w:rPr>
              <w:t>之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系所/日期/教評會</w:t>
            </w:r>
          </w:p>
        </w:tc>
      </w:tr>
      <w:tr w:rsidR="007F2E00" w:rsidRPr="007F2E00" w14:paraId="4F8F6AA9" w14:textId="37AAA9D3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7A25C" w14:textId="5BAB1A50" w:rsidR="00A64594" w:rsidRPr="007F2E00" w:rsidRDefault="00A64594" w:rsidP="001B3DD6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hint="eastAsia"/>
                <w:color w:val="auto"/>
              </w:rPr>
              <w:t>1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C8C19" w14:textId="31FAB747" w:rsidR="00A64594" w:rsidRPr="007F2E00" w:rsidRDefault="00A64594" w:rsidP="001B3DD6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Computer Human Interaction (CHI)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>/ ACM SIGCHI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6B7B" w14:textId="308C5054" w:rsidR="00A64594" w:rsidRPr="007F2E00" w:rsidRDefault="00A64594" w:rsidP="001B3DD6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16~25%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323B4" w14:textId="63726CE5" w:rsidR="00A64594" w:rsidRPr="007F2E00" w:rsidRDefault="00A64594" w:rsidP="001B3DD6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 Unicode MS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全球最頂尖的人機互動設計會議，每年舉辦一次，吸引跨領域人數超過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3000</w:t>
            </w: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人參與。GS=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1, H5=95, &gt;Q1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77F2" w14:textId="1A3E0D96" w:rsidR="00A64594" w:rsidRPr="007F2E00" w:rsidRDefault="00A64594" w:rsidP="001B3DD6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人機互動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83C4F" w14:textId="77777777" w:rsidR="00EB1654" w:rsidRPr="007F2E00" w:rsidRDefault="00A64594" w:rsidP="00EB165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  <w:r w:rsidR="00EB1654" w:rsidRPr="007F2E00">
              <w:rPr>
                <w:rFonts w:ascii="微軟正黑體" w:eastAsia="微軟正黑體" w:hAnsi="微軟正黑體" w:cs="微軟正黑體" w:hint="eastAsia"/>
                <w:color w:val="auto"/>
              </w:rPr>
              <w:t xml:space="preserve"> </w:t>
            </w:r>
          </w:p>
          <w:p w14:paraId="2941D207" w14:textId="1B7B1E5B" w:rsidR="00A64594" w:rsidRPr="007F2E00" w:rsidRDefault="00A64594" w:rsidP="00EB165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03E58DA1" w14:textId="5D23303B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3164A2" w14:textId="4DA0B35C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EE7BE3" w14:textId="6EF6C498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 xml:space="preserve">ACM Conference on Computer-Supported Cooperative Work &amp; Social Computing 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>/ ACM CSCW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36F8E" w14:textId="158D028C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26%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7B97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 Unicode MS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電腦輔助協作設計最</w:t>
            </w: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重要國際會議，每年舉辦一次，參與人數約為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900</w:t>
            </w: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人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。</w:t>
            </w:r>
          </w:p>
          <w:p w14:paraId="41AB8E5A" w14:textId="68359570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2, H5=61, &gt;Q1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0DE85" w14:textId="3127444D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電腦協作設計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6022C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29FE3189" w14:textId="5D3E145F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2A208415" w14:textId="17BF100A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C865AE" w14:textId="0955CC15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3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1C4CA" w14:textId="473045D5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ACM Conference on Pervasive and Ubiquitous Computing (</w:t>
            </w:r>
            <w:proofErr w:type="spellStart"/>
            <w:r w:rsidRPr="007F2E00">
              <w:rPr>
                <w:rFonts w:ascii="微軟正黑體" w:eastAsia="微軟正黑體" w:hAnsi="微軟正黑體"/>
                <w:color w:val="auto"/>
              </w:rPr>
              <w:t>UbiComp</w:t>
            </w:r>
            <w:proofErr w:type="spellEnd"/>
            <w:r w:rsidRPr="007F2E00">
              <w:rPr>
                <w:rFonts w:ascii="微軟正黑體" w:eastAsia="微軟正黑體" w:hAnsi="微軟正黑體"/>
                <w:color w:val="auto"/>
              </w:rPr>
              <w:t>)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 xml:space="preserve"> / ACM UBICOMP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174788" w14:textId="1CC14B43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26%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F818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 Unicode MS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普及運算領域重要國際會議，每年舉辦一次，參與人數約為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900</w:t>
            </w: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人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。</w:t>
            </w:r>
          </w:p>
          <w:p w14:paraId="2920178E" w14:textId="06235891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3, H5=54, &gt;Q1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472AF" w14:textId="58CC4ADC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智能環境設計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44C3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17D71D1D" w14:textId="353BDF42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52290018" w14:textId="32848DF8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A11F7" w14:textId="0FDBBDAC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4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017D4" w14:textId="7AED12DC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 xml:space="preserve">ACM Symposium on User Interface Software and Technology 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>/ ACM UIST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F1DD2" w14:textId="1A5B52C6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22%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32A01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使用者介面設計的頂尖國際會議，每年約</w:t>
            </w:r>
            <w:r w:rsidRPr="007F2E00">
              <w:rPr>
                <w:rFonts w:ascii="微軟正黑體" w:eastAsia="微軟正黑體" w:hAnsi="微軟正黑體" w:cs="Arial"/>
                <w:color w:val="auto"/>
              </w:rPr>
              <w:t>400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位使用者介面設計學者參與。</w:t>
            </w:r>
          </w:p>
          <w:p w14:paraId="6997DA3A" w14:textId="29A9C20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6, H5=44, &gt;Q1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9BD437" w14:textId="0D2D26A9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使用者介面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E8D80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224731EC" w14:textId="25073966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582278D8" w14:textId="2052E182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ED4" w14:textId="5EB0AEDB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5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5FAE3" w14:textId="4385FB30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 xml:space="preserve">Conference on Designing Interactive Systems 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>/ ACM DIS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869135" w14:textId="78247F76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20~26%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FDA22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互動設計的頂尖國際會議，每年約</w:t>
            </w:r>
            <w:r w:rsidRPr="007F2E00">
              <w:rPr>
                <w:rFonts w:ascii="微軟正黑體" w:eastAsia="微軟正黑體" w:hAnsi="微軟正黑體" w:cs="Arial"/>
                <w:color w:val="auto"/>
              </w:rPr>
              <w:t>300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位頂尖互動設計學者參與。</w:t>
            </w:r>
          </w:p>
          <w:p w14:paraId="3B7D87AE" w14:textId="3C85CF69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 xml:space="preserve">14, </w:t>
            </w:r>
            <w:r w:rsidRPr="007F2E00">
              <w:rPr>
                <w:rFonts w:ascii="微軟正黑體" w:eastAsia="微軟正黑體" w:hAnsi="微軟正黑體" w:cs="Arial"/>
                <w:color w:val="auto"/>
              </w:rPr>
              <w:t>H5=31, ~Q2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CAE791" w14:textId="04F95D82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互動設計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53CC7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26A2099A" w14:textId="4B7944CE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50AC3B92" w14:textId="31571676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DDFEB" w14:textId="6200E126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A4059A" w14:textId="7B59F0B5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Mobile HCI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 xml:space="preserve">/ ACM </w:t>
            </w:r>
            <w:proofErr w:type="spellStart"/>
            <w:r w:rsidRPr="007F2E00">
              <w:rPr>
                <w:rFonts w:ascii="微軟正黑體" w:eastAsia="微軟正黑體" w:hAnsi="微軟正黑體"/>
                <w:color w:val="auto"/>
              </w:rPr>
              <w:t>MobileHCI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7A681" w14:textId="27D906D0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23%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BA099" w14:textId="56B2D423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行動運算及人機互動領域重要國際會議，每年舉辦一次，參與人數約為</w:t>
            </w:r>
            <w:r w:rsidRPr="007F2E00">
              <w:rPr>
                <w:rFonts w:ascii="微軟正黑體" w:eastAsia="微軟正黑體" w:hAnsi="微軟正黑體" w:cs="新細明體"/>
                <w:color w:val="auto"/>
              </w:rPr>
              <w:t>220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人。</w:t>
            </w: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18, H5=30,~Q2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CB944" w14:textId="1637C8C1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行動人機互動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9A276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75058B93" w14:textId="7E3A895E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5BDA82A5" w14:textId="70C87704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F8606" w14:textId="2D178829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7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57FB3" w14:textId="34EB97C0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 xml:space="preserve">IEEE Virtual Reality Conference 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>/ IEEE VR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0E8F8" w14:textId="53EDEDBA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22%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D781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虛擬實境領域重要國際會議，每年舉辦一次，參與人數約為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1200</w:t>
            </w: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人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。</w:t>
            </w:r>
          </w:p>
          <w:p w14:paraId="58D63E25" w14:textId="09F35C02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 Unicode MS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 xml:space="preserve">19, </w:t>
            </w:r>
            <w:r w:rsidRPr="007F2E00">
              <w:rPr>
                <w:rFonts w:ascii="微軟正黑體" w:eastAsia="微軟正黑體" w:hAnsi="微軟正黑體" w:cs="Arial"/>
                <w:color w:val="auto"/>
              </w:rPr>
              <w:t>H5=28, ~Q2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AF94B" w14:textId="428966E1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虛擬實境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86FD85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558AD4F4" w14:textId="55B88386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1161DB4B" w14:textId="4A188243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190B9" w14:textId="0109D2F5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8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9E2D2" w14:textId="17B3AFF8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 xml:space="preserve">International Conference on Tangible, Embedded, and Embodied Interaction 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  <w:t>/ ACM TEI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F8C6B" w14:textId="3C9CF2AF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27%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0A26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實體介面設計的頂尖國際會議，每年約</w:t>
            </w:r>
            <w:r w:rsidRPr="007F2E00">
              <w:rPr>
                <w:rFonts w:ascii="微軟正黑體" w:eastAsia="微軟正黑體" w:hAnsi="微軟正黑體" w:cs="Arial"/>
                <w:color w:val="auto"/>
              </w:rPr>
              <w:t>300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位使用者介面設計學者參與。</w:t>
            </w:r>
          </w:p>
          <w:p w14:paraId="173AE813" w14:textId="4AC5FCC1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"/>
                <w:color w:val="auto"/>
              </w:rPr>
            </w:pPr>
            <w:r w:rsidRPr="007F2E00">
              <w:rPr>
                <w:rFonts w:ascii="微軟正黑體" w:eastAsia="微軟正黑體" w:hAnsi="微軟正黑體" w:cs="Arial Unicode MS" w:hint="eastAsia"/>
                <w:color w:val="auto"/>
              </w:rPr>
              <w:t>GS=</w:t>
            </w:r>
            <w:r w:rsidRPr="007F2E00">
              <w:rPr>
                <w:rFonts w:ascii="微軟正黑體" w:eastAsia="微軟正黑體" w:hAnsi="微軟正黑體" w:cs="Arial Unicode MS"/>
                <w:color w:val="auto"/>
              </w:rPr>
              <w:t>20, H5=27, ~Q2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5D67A" w14:textId="0BD11884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實體互動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F85155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294A1437" w14:textId="5A54F21C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  <w:tr w:rsidR="007F2E00" w:rsidRPr="007F2E00" w14:paraId="25D43221" w14:textId="19F64D96" w:rsidTr="00A64594">
        <w:tblPrEx>
          <w:shd w:val="clear" w:color="auto" w:fill="auto"/>
        </w:tblPrEx>
        <w:trPr>
          <w:trHeight w:val="571"/>
        </w:trPr>
        <w:tc>
          <w:tcPr>
            <w:tcW w:w="6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F3919" w14:textId="0F583254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9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1E5737" w14:textId="54FE457B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/>
                <w:color w:val="auto"/>
              </w:rPr>
              <w:t>ACM International Conference on Multimedia</w:t>
            </w:r>
            <w:r w:rsidRPr="007F2E00">
              <w:rPr>
                <w:rFonts w:ascii="微軟正黑體" w:eastAsia="微軟正黑體" w:hAnsi="微軟正黑體"/>
                <w:color w:val="auto"/>
              </w:rPr>
              <w:br/>
            </w:r>
            <w:r w:rsidRPr="007F2E00">
              <w:rPr>
                <w:rFonts w:ascii="微軟正黑體" w:eastAsia="微軟正黑體" w:hAnsi="微軟正黑體" w:hint="eastAsia"/>
                <w:color w:val="auto"/>
              </w:rPr>
              <w:t xml:space="preserve"> </w:t>
            </w:r>
            <w:r w:rsidRPr="007F2E00">
              <w:rPr>
                <w:rFonts w:ascii="微軟正黑體" w:eastAsia="微軟正黑體" w:hAnsi="微軟正黑體"/>
                <w:color w:val="auto"/>
              </w:rPr>
              <w:t xml:space="preserve">/ </w:t>
            </w:r>
            <w:r w:rsidRPr="007F2E00">
              <w:rPr>
                <w:rFonts w:ascii="微軟正黑體" w:eastAsia="微軟正黑體" w:hAnsi="微軟正黑體" w:hint="eastAsia"/>
                <w:color w:val="auto"/>
              </w:rPr>
              <w:t>ACM MM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4985F" w14:textId="734E4BA4" w:rsidR="00A64594" w:rsidRPr="007F2E00" w:rsidRDefault="00A64594" w:rsidP="00A64594">
            <w:pPr>
              <w:pStyle w:val="2"/>
              <w:snapToGrid w:val="0"/>
              <w:spacing w:line="204" w:lineRule="auto"/>
              <w:jc w:val="center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hint="eastAsia"/>
                <w:color w:val="auto"/>
              </w:rPr>
              <w:t>2</w:t>
            </w:r>
            <w:r w:rsidRPr="007F2E00">
              <w:rPr>
                <w:rFonts w:ascii="微軟正黑體" w:eastAsia="微軟正黑體" w:hAnsi="微軟正黑體"/>
                <w:color w:val="auto"/>
              </w:rPr>
              <w:t>3%</w:t>
            </w:r>
          </w:p>
        </w:tc>
        <w:tc>
          <w:tcPr>
            <w:tcW w:w="352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8BC3B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多媒體設計的頂尖國際會議，每年約</w:t>
            </w:r>
            <w:r w:rsidRPr="007F2E00">
              <w:rPr>
                <w:rFonts w:ascii="微軟正黑體" w:eastAsia="微軟正黑體" w:hAnsi="微軟正黑體" w:cs="Arial"/>
                <w:color w:val="auto"/>
              </w:rPr>
              <w:t>200</w:t>
            </w: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位使用者介面設計學者參與。</w:t>
            </w:r>
          </w:p>
          <w:p w14:paraId="1856419E" w14:textId="09E0D381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Arial"/>
                <w:color w:val="auto"/>
              </w:rPr>
            </w:pPr>
            <w:r w:rsidRPr="007F2E00">
              <w:rPr>
                <w:rFonts w:ascii="微軟正黑體" w:eastAsia="微軟正黑體" w:hAnsi="微軟正黑體" w:cs="Arial"/>
                <w:color w:val="auto"/>
              </w:rPr>
              <w:t>GS=4, H5=58, &gt;Q1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1FFA5A" w14:textId="2202F28F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/>
                <w:color w:val="auto"/>
              </w:rPr>
            </w:pPr>
            <w:r w:rsidRPr="007F2E00">
              <w:rPr>
                <w:rFonts w:ascii="微軟正黑體" w:eastAsia="微軟正黑體" w:hAnsi="微軟正黑體" w:cs="新細明體" w:hint="eastAsia"/>
                <w:color w:val="auto"/>
              </w:rPr>
              <w:t>多媒體</w:t>
            </w:r>
          </w:p>
        </w:tc>
        <w:tc>
          <w:tcPr>
            <w:tcW w:w="135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F81C0A" w14:textId="77777777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微軟正黑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設計系110.01.20</w:t>
            </w:r>
          </w:p>
          <w:p w14:paraId="190B3189" w14:textId="2E586E8C" w:rsidR="00A64594" w:rsidRPr="007F2E00" w:rsidRDefault="00A64594" w:rsidP="00A64594">
            <w:pPr>
              <w:pStyle w:val="2"/>
              <w:snapToGrid w:val="0"/>
              <w:spacing w:line="204" w:lineRule="auto"/>
              <w:rPr>
                <w:rFonts w:ascii="微軟正黑體" w:eastAsia="微軟正黑體" w:hAnsi="微軟正黑體" w:cs="新細明體"/>
                <w:color w:val="auto"/>
              </w:rPr>
            </w:pPr>
            <w:r w:rsidRPr="007F2E00">
              <w:rPr>
                <w:rFonts w:ascii="微軟正黑體" w:eastAsia="微軟正黑體" w:hAnsi="微軟正黑體" w:cs="微軟正黑體"/>
                <w:color w:val="auto"/>
              </w:rPr>
              <w:t>第</w:t>
            </w:r>
            <w:r w:rsidRPr="007F2E00">
              <w:rPr>
                <w:rFonts w:ascii="微軟正黑體" w:eastAsia="微軟正黑體" w:hAnsi="微軟正黑體"/>
                <w:color w:val="auto"/>
              </w:rPr>
              <w:t>10905</w:t>
            </w:r>
            <w:r w:rsidRPr="007F2E00">
              <w:rPr>
                <w:rFonts w:ascii="微軟正黑體" w:eastAsia="微軟正黑體" w:hAnsi="微軟正黑體" w:cs="微軟正黑體"/>
                <w:color w:val="auto"/>
              </w:rPr>
              <w:t>次</w:t>
            </w:r>
          </w:p>
        </w:tc>
      </w:tr>
    </w:tbl>
    <w:p w14:paraId="68CB96D2" w14:textId="55C92F58" w:rsidR="0059739E" w:rsidRPr="007F2E00" w:rsidRDefault="001B3DD6" w:rsidP="0059739E">
      <w:pPr>
        <w:snapToGrid w:val="0"/>
        <w:spacing w:before="0"/>
        <w:rPr>
          <w:rFonts w:ascii="微軟正黑體" w:eastAsia="微軟正黑體" w:hAnsi="微軟正黑體" w:cs="微軟正黑體" w:hint="default"/>
          <w:color w:val="auto"/>
          <w:sz w:val="20"/>
          <w:szCs w:val="20"/>
          <w:lang w:val="en-US"/>
        </w:rPr>
      </w:pPr>
      <w:r w:rsidRPr="007F2E00">
        <w:rPr>
          <w:rFonts w:ascii="微軟正黑體" w:eastAsia="微軟正黑體" w:hAnsi="微軟正黑體" w:cs="微軟正黑體"/>
          <w:color w:val="auto"/>
          <w:lang w:val="en-US"/>
        </w:rPr>
        <w:t xml:space="preserve">  </w:t>
      </w:r>
      <w:r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備註：</w:t>
      </w:r>
      <w:r w:rsidR="00A64594" w:rsidRPr="007F2E00">
        <w:rPr>
          <w:rFonts w:ascii="微軟正黑體" w:eastAsia="微軟正黑體" w:hAnsi="微軟正黑體" w:cs="微軟正黑體" w:hint="default"/>
          <w:color w:val="auto"/>
          <w:sz w:val="20"/>
          <w:szCs w:val="20"/>
          <w:lang w:val="en-US"/>
        </w:rPr>
        <w:t>1</w:t>
      </w:r>
      <w:r w:rsidR="0059739E" w:rsidRPr="007F2E00">
        <w:rPr>
          <w:rFonts w:ascii="微軟正黑體" w:eastAsia="微軟正黑體" w:hAnsi="微軟正黑體" w:cs="微軟正黑體" w:hint="default"/>
          <w:color w:val="auto"/>
          <w:sz w:val="20"/>
          <w:szCs w:val="20"/>
          <w:lang w:val="en-US"/>
        </w:rPr>
        <w:t>.</w:t>
      </w:r>
      <w:r w:rsidR="0059739E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頂級研討會論文之認定以投稿日為基準。</w:t>
      </w:r>
    </w:p>
    <w:p w14:paraId="5967F4B4" w14:textId="27717350" w:rsidR="00A44E26" w:rsidRPr="007F2E00" w:rsidRDefault="00A44E26" w:rsidP="00BD40BF">
      <w:pPr>
        <w:snapToGrid w:val="0"/>
        <w:spacing w:before="0"/>
        <w:ind w:leftChars="1" w:left="992" w:hangingChars="495" w:hanging="990"/>
        <w:rPr>
          <w:rFonts w:ascii="微軟正黑體" w:eastAsia="微軟正黑體" w:hAnsi="微軟正黑體" w:cs="微軟正黑體" w:hint="default"/>
          <w:color w:val="auto"/>
          <w:sz w:val="20"/>
          <w:szCs w:val="20"/>
          <w:lang w:val="en-US"/>
        </w:rPr>
      </w:pPr>
      <w:r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 xml:space="preserve">              </w:t>
      </w:r>
      <w:r w:rsidR="00A64594" w:rsidRPr="007F2E00">
        <w:rPr>
          <w:rFonts w:ascii="微軟正黑體" w:eastAsia="微軟正黑體" w:hAnsi="微軟正黑體" w:cs="微軟正黑體" w:hint="default"/>
          <w:color w:val="auto"/>
          <w:sz w:val="20"/>
          <w:szCs w:val="20"/>
          <w:lang w:val="en-US"/>
        </w:rPr>
        <w:t>2</w:t>
      </w:r>
      <w:r w:rsidRPr="007F2E00">
        <w:rPr>
          <w:rFonts w:ascii="微軟正黑體" w:eastAsia="微軟正黑體" w:hAnsi="微軟正黑體" w:cs="微軟正黑體" w:hint="default"/>
          <w:color w:val="auto"/>
          <w:sz w:val="20"/>
          <w:szCs w:val="20"/>
          <w:lang w:val="en-US"/>
        </w:rPr>
        <w:t>.</w:t>
      </w:r>
      <w:r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本清單之異動，須經系、院教評會審查通過</w:t>
      </w:r>
      <w:r w:rsidR="00A64594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。</w:t>
      </w:r>
      <w:r w:rsidR="00536A8A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提</w:t>
      </w:r>
      <w:r w:rsidR="00B051EE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出</w:t>
      </w:r>
      <w:r w:rsidR="00434774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頂級研討會</w:t>
      </w:r>
      <w:r w:rsidR="00536A8A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清單建議之系</w:t>
      </w:r>
      <w:r w:rsidR="00A64594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所</w:t>
      </w:r>
      <w:r w:rsidR="00536A8A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，需主動</w:t>
      </w:r>
      <w:r w:rsidR="001307F7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進行</w:t>
      </w:r>
      <w:r w:rsidR="00536A8A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定期</w:t>
      </w:r>
      <w:r w:rsidR="00A64594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檢</w:t>
      </w:r>
      <w:r w:rsidR="00536A8A"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視</w:t>
      </w:r>
      <w:r w:rsidRPr="007F2E00">
        <w:rPr>
          <w:rFonts w:ascii="微軟正黑體" w:eastAsia="微軟正黑體" w:hAnsi="微軟正黑體" w:cs="微軟正黑體"/>
          <w:color w:val="auto"/>
          <w:sz w:val="20"/>
          <w:szCs w:val="20"/>
          <w:lang w:val="en-US"/>
        </w:rPr>
        <w:t>。</w:t>
      </w:r>
      <w:bookmarkStart w:id="0" w:name="_GoBack"/>
      <w:bookmarkEnd w:id="0"/>
    </w:p>
    <w:sectPr w:rsidR="00A44E26" w:rsidRPr="007F2E00" w:rsidSect="002535FA">
      <w:headerReference w:type="default" r:id="rId7"/>
      <w:pgSz w:w="11906" w:h="16838" w:code="9"/>
      <w:pgMar w:top="1134" w:right="1440" w:bottom="1440" w:left="1440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97D14" w14:textId="77777777" w:rsidR="008A7E55" w:rsidRDefault="008A7E55">
      <w:pPr>
        <w:spacing w:before="0"/>
        <w:rPr>
          <w:rFonts w:hint="default"/>
        </w:rPr>
      </w:pPr>
      <w:r>
        <w:separator/>
      </w:r>
    </w:p>
  </w:endnote>
  <w:endnote w:type="continuationSeparator" w:id="0">
    <w:p w14:paraId="756ADDAF" w14:textId="77777777" w:rsidR="008A7E55" w:rsidRDefault="008A7E55">
      <w:pPr>
        <w:spacing w:before="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F2F4CA" w14:textId="77777777" w:rsidR="008A7E55" w:rsidRDefault="008A7E55">
      <w:pPr>
        <w:spacing w:before="0"/>
        <w:rPr>
          <w:rFonts w:hint="default"/>
        </w:rPr>
      </w:pPr>
      <w:r>
        <w:separator/>
      </w:r>
    </w:p>
  </w:footnote>
  <w:footnote w:type="continuationSeparator" w:id="0">
    <w:p w14:paraId="5C8998FF" w14:textId="77777777" w:rsidR="008A7E55" w:rsidRDefault="008A7E55">
      <w:pPr>
        <w:spacing w:before="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6E463D" w14:textId="77777777" w:rsidR="002535FA" w:rsidRPr="001B3DD6" w:rsidRDefault="002535FA" w:rsidP="002535FA">
    <w:pPr>
      <w:pStyle w:val="ab"/>
      <w:spacing w:before="0"/>
      <w:jc w:val="right"/>
      <w:rPr>
        <w:rFonts w:ascii="微軟正黑體" w:eastAsia="微軟正黑體" w:hAnsi="微軟正黑體" w:cs="Times New Roman" w:hint="default"/>
      </w:rPr>
    </w:pPr>
    <w:r>
      <w:rPr>
        <w:rFonts w:ascii="微軟正黑體" w:eastAsia="微軟正黑體" w:hAnsi="微軟正黑體" w:cs="Times New Roman"/>
        <w:lang w:val="en-US"/>
      </w:rPr>
      <w:t>附件一</w:t>
    </w:r>
  </w:p>
  <w:p w14:paraId="5DD70FB7" w14:textId="0B899178" w:rsidR="002535FA" w:rsidRDefault="001B3DD6" w:rsidP="002535FA">
    <w:pPr>
      <w:pStyle w:val="ab"/>
      <w:spacing w:before="0"/>
      <w:jc w:val="right"/>
      <w:rPr>
        <w:rFonts w:hint="default"/>
      </w:rPr>
    </w:pPr>
    <w:r w:rsidRPr="001B3DD6">
      <w:rPr>
        <w:rFonts w:ascii="微軟正黑體" w:eastAsia="微軟正黑體" w:hAnsi="微軟正黑體" w:cs="Times New Roman" w:hint="default"/>
        <w:lang w:val="en-US"/>
      </w:rPr>
      <w:t xml:space="preserve">20210225 </w:t>
    </w:r>
    <w:r>
      <w:rPr>
        <w:rFonts w:ascii="微軟正黑體" w:eastAsia="微軟正黑體" w:hAnsi="微軟正黑體" w:cs="Times New Roman"/>
        <w:lang w:val="en-US"/>
      </w:rPr>
      <w:t>設計學</w:t>
    </w:r>
    <w:r w:rsidRPr="001B3DD6">
      <w:rPr>
        <w:rFonts w:ascii="微軟正黑體" w:eastAsia="微軟正黑體" w:hAnsi="微軟正黑體" w:cs="Times New Roman" w:hint="default"/>
        <w:lang w:val="en-US"/>
      </w:rPr>
      <w:t>院第10905次教評會通過</w:t>
    </w:r>
    <w:r w:rsidR="002535FA">
      <w:rPr>
        <w:rFonts w:ascii="微軟正黑體" w:eastAsia="微軟正黑體" w:hAnsi="微軟正黑體" w:cs="Times New Roman"/>
        <w:lang w:val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201C"/>
    <w:multiLevelType w:val="hybridMultilevel"/>
    <w:tmpl w:val="22B013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5EA5F9C"/>
    <w:multiLevelType w:val="hybridMultilevel"/>
    <w:tmpl w:val="7F9C1A24"/>
    <w:styleLink w:val="a"/>
    <w:lvl w:ilvl="0" w:tplc="2148377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2EF6EA6A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AA42312A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83E6722E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CF0EE74A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3016CE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346EAC54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B3A2C69A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75C6C38C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4D364921"/>
    <w:multiLevelType w:val="hybridMultilevel"/>
    <w:tmpl w:val="7A9898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F361E7"/>
    <w:multiLevelType w:val="hybridMultilevel"/>
    <w:tmpl w:val="2DD808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59D28B9"/>
    <w:multiLevelType w:val="hybridMultilevel"/>
    <w:tmpl w:val="08609B1C"/>
    <w:lvl w:ilvl="0" w:tplc="D9A8A2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75258D5"/>
    <w:multiLevelType w:val="hybridMultilevel"/>
    <w:tmpl w:val="7F9C1A24"/>
    <w:numStyleLink w:val="a"/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82"/>
    <w:rsid w:val="00073823"/>
    <w:rsid w:val="000A3920"/>
    <w:rsid w:val="000C7B4C"/>
    <w:rsid w:val="001307F7"/>
    <w:rsid w:val="001427D7"/>
    <w:rsid w:val="00146C36"/>
    <w:rsid w:val="00156688"/>
    <w:rsid w:val="001A635F"/>
    <w:rsid w:val="001B3DD6"/>
    <w:rsid w:val="00202B0D"/>
    <w:rsid w:val="002465B7"/>
    <w:rsid w:val="002535FA"/>
    <w:rsid w:val="00254087"/>
    <w:rsid w:val="002659F9"/>
    <w:rsid w:val="003621A0"/>
    <w:rsid w:val="003818BA"/>
    <w:rsid w:val="003939D6"/>
    <w:rsid w:val="00433D55"/>
    <w:rsid w:val="00434774"/>
    <w:rsid w:val="00436CE1"/>
    <w:rsid w:val="00445F27"/>
    <w:rsid w:val="004776F9"/>
    <w:rsid w:val="004B2E0E"/>
    <w:rsid w:val="004C3B33"/>
    <w:rsid w:val="004F6135"/>
    <w:rsid w:val="00536A8A"/>
    <w:rsid w:val="0057116D"/>
    <w:rsid w:val="0059739E"/>
    <w:rsid w:val="005A2D80"/>
    <w:rsid w:val="005A51D7"/>
    <w:rsid w:val="005C4D1F"/>
    <w:rsid w:val="005D5FFE"/>
    <w:rsid w:val="00654F03"/>
    <w:rsid w:val="00695249"/>
    <w:rsid w:val="006D64B6"/>
    <w:rsid w:val="006F22C3"/>
    <w:rsid w:val="0073274D"/>
    <w:rsid w:val="0076221A"/>
    <w:rsid w:val="007F2E00"/>
    <w:rsid w:val="008A7E55"/>
    <w:rsid w:val="008E7B01"/>
    <w:rsid w:val="00970F18"/>
    <w:rsid w:val="009746CF"/>
    <w:rsid w:val="009B7E2B"/>
    <w:rsid w:val="009C4D3D"/>
    <w:rsid w:val="00A313BA"/>
    <w:rsid w:val="00A44E26"/>
    <w:rsid w:val="00A547DE"/>
    <w:rsid w:val="00A5701D"/>
    <w:rsid w:val="00A64594"/>
    <w:rsid w:val="00A84882"/>
    <w:rsid w:val="00B051EE"/>
    <w:rsid w:val="00B22C9C"/>
    <w:rsid w:val="00B702B1"/>
    <w:rsid w:val="00B85C64"/>
    <w:rsid w:val="00BD40BF"/>
    <w:rsid w:val="00BE2426"/>
    <w:rsid w:val="00C07698"/>
    <w:rsid w:val="00C11819"/>
    <w:rsid w:val="00C571E6"/>
    <w:rsid w:val="00C70B99"/>
    <w:rsid w:val="00CD0A06"/>
    <w:rsid w:val="00CF4591"/>
    <w:rsid w:val="00D83C4A"/>
    <w:rsid w:val="00DC797F"/>
    <w:rsid w:val="00DD3D1E"/>
    <w:rsid w:val="00EB1654"/>
    <w:rsid w:val="00EC28A7"/>
    <w:rsid w:val="00F85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31C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spacing w:before="160"/>
    </w:pPr>
    <w:rPr>
      <w:rFonts w:ascii="Arial Unicode MS" w:eastAsia="Helvetica Neue" w:hAnsi="Arial Unicode MS" w:cs="Arial Unicode MS" w:hint="eastAsia"/>
      <w:color w:val="000000"/>
      <w:sz w:val="24"/>
      <w:szCs w:val="24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頁首與頁尾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大標題"/>
    <w:next w:val="a0"/>
    <w:pPr>
      <w:keepNext/>
      <w:spacing w:before="200" w:after="200"/>
      <w:outlineLvl w:val="1"/>
    </w:pPr>
    <w:rPr>
      <w:rFonts w:ascii="Arial Unicode MS" w:eastAsia="Helvetica Neue" w:hAnsi="Arial Unicode MS" w:cs="Arial Unicode MS" w:hint="eastAsia"/>
      <w:b/>
      <w:bCs/>
      <w:color w:val="444444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customStyle="1" w:styleId="a7">
    <w:name w:val="主題"/>
    <w:next w:val="a0"/>
    <w:pPr>
      <w:keepNext/>
      <w:pBdr>
        <w:top w:val="single" w:sz="4" w:space="0" w:color="515151"/>
      </w:pBdr>
      <w:spacing w:before="360" w:after="40" w:line="288" w:lineRule="auto"/>
      <w:outlineLvl w:val="0"/>
    </w:pPr>
    <w:rPr>
      <w:rFonts w:ascii="Arial Unicode MS" w:eastAsia="Helvetica Neue" w:hAnsi="Arial Unicode MS" w:cs="Arial Unicode MS" w:hint="eastAsia"/>
      <w:color w:val="000000"/>
      <w:spacing w:val="5"/>
      <w:sz w:val="28"/>
      <w:szCs w:val="28"/>
      <w:lang w:val="zh-TW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筆記"/>
    <w:pPr>
      <w:numPr>
        <w:numId w:val="1"/>
      </w:numPr>
    </w:pPr>
  </w:style>
  <w:style w:type="paragraph" w:customStyle="1" w:styleId="1">
    <w:name w:val="表格樣式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樣式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A313BA"/>
    <w:pPr>
      <w:spacing w:before="0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1"/>
    <w:link w:val="a8"/>
    <w:uiPriority w:val="99"/>
    <w:semiHidden/>
    <w:rsid w:val="00A313BA"/>
    <w:rPr>
      <w:rFonts w:ascii="新細明體" w:eastAsia="新細明體" w:hAnsi="Arial Unicode MS" w:cs="Arial Unicode MS"/>
      <w:color w:val="000000"/>
      <w:sz w:val="18"/>
      <w:szCs w:val="18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List Paragraph"/>
    <w:basedOn w:val="a0"/>
    <w:uiPriority w:val="34"/>
    <w:qFormat/>
    <w:rsid w:val="00A313BA"/>
    <w:pPr>
      <w:ind w:leftChars="200" w:left="480"/>
    </w:pPr>
  </w:style>
  <w:style w:type="paragraph" w:styleId="ab">
    <w:name w:val="header"/>
    <w:basedOn w:val="a0"/>
    <w:link w:val="ac"/>
    <w:uiPriority w:val="99"/>
    <w:unhideWhenUsed/>
    <w:rsid w:val="004B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1"/>
    <w:link w:val="ab"/>
    <w:uiPriority w:val="99"/>
    <w:rsid w:val="004B2E0E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d">
    <w:name w:val="footer"/>
    <w:basedOn w:val="a0"/>
    <w:link w:val="ae"/>
    <w:uiPriority w:val="99"/>
    <w:unhideWhenUsed/>
    <w:rsid w:val="004B2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1"/>
    <w:link w:val="ad"/>
    <w:uiPriority w:val="99"/>
    <w:rsid w:val="004B2E0E"/>
    <w:rPr>
      <w:rFonts w:ascii="Arial Unicode MS" w:eastAsia="Helvetica Neue" w:hAnsi="Arial Unicode MS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Helvetica Neue"/>
        <a:ea typeface="新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jazzliang</dc:creator>
  <cp:lastModifiedBy>NHY</cp:lastModifiedBy>
  <cp:revision>3</cp:revision>
  <cp:lastPrinted>2021-02-26T06:25:00Z</cp:lastPrinted>
  <dcterms:created xsi:type="dcterms:W3CDTF">2021-03-29T08:58:00Z</dcterms:created>
  <dcterms:modified xsi:type="dcterms:W3CDTF">2021-03-29T08:58:00Z</dcterms:modified>
</cp:coreProperties>
</file>